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 приказом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3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600"/>
              <w:gridCol w:w="580"/>
              <w:gridCol w:w="380"/>
              <w:gridCol w:w="2280"/>
              <w:gridCol w:w="380"/>
              <w:gridCol w:w="580"/>
              <w:gridCol w:w="960"/>
              <w:gridCol w:w="76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20.07.2021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г. №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>
              <w:trPr>
                <w:trHeight w:val="0"/>
              </w:trPr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9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комитете (комиссии) по охране труда</w:t>
      </w:r>
    </w:p>
    <w:tbl>
      <w:tblPr>
        <w:tblW w:w="41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</w:tr>
      <w:tr>
        <w:trPr>
          <w:trHeight w:val="0"/>
        </w:trPr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 комитете (комиссии) по охране труда в _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__ (далее – Комитет) разработано в соответствии с действующим законодательством Российской Федерации, положениями </w:t>
      </w:r>
      <w:r>
        <w:rPr>
          <w:rFonts w:hAnsi="Times New Roman" w:cs="Times New Roman"/>
          <w:color w:val="000000"/>
          <w:sz w:val="24"/>
          <w:szCs w:val="24"/>
        </w:rPr>
        <w:t>статьи 218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РФ и уставом организации и является внутренним документом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Комитет создается на паритетной основе из представителей работодателя, профсоюзного комитета и службы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Комитет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Комитет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принципах социального партнерства.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технической инспекцией труда профсоюзов.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Комитет в своей деятельности руководствуется законами и иными нормативными правовыми актами Российской Федерации, законами и иными нормативными правовыми актами субъектов Российской Федерации об охране труда,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Численность членов Комитета определяется в зависимости от числа работников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Выдвижение в Комитет представителей работников проводится на общем собрании трудового коллектива. Представители администрации организации назначаются приказом по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Комитет может избрать из своего состава председателя, заместителей от каждой стороны и секретаря.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Члены Комитета выполняют свои обязанности на общественных началах. Комитет осуществляет свою деятельность в соответствии с планом работы, который принимается на заседании Комитета и утверждается председателем. Заседания комиссии проводятся по мере необходимости, но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реже _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 раз(а) в _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>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1.11. Члены Комитета должны проходить обучение по охране труда в обучающей организации за счет средств организации, а также средств Фонда социального страхования Российской Федерации (страховщика).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1.12. Обеспечение деятельности Комитета, его членов (освобождение от основной работы на время исполнения обязанностей, прохождения обучения и т. п.) устанавливается коллективным договором, локальным нормативным актом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1.13. Для более четкого разграничения функций между Комитетом и другими субъектами системы управления охраной труда в организации может быть разработан регламент работы Комитета.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Задачи Комитета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Разработка на основе предложений членов Комитета программы совместных действий работодателя, профессиональных союзов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профессиональных заболеваний и сохранению здоровья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Организация проведения проверок состояния условий и охраны труда на рабочих местах, подготовка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Функции Комитета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Рассмотрение предложений, направленных на улучшение условий и охраны труда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Оказание содействия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Участие в проведении обследований состояния условий и охраны труда в организации, рассмотрении их результатов и выработке рекомендаций по устранению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Доведение до сведения работников организации результатов специальной оценки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Информирование работников организации о действующих нормативах по обеспечению смывающими и обезвреживающими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хранения, стирки, чистки, ремонта, дезинфекции и обеззараживания.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Содействие по внедрению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Подготовка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Рассмотрение проектов локальных нормативных актов по охране труда и подготовка предложений по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Права Комитета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Получать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Заслушивать на заседаниях Комитета сообщения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Заслушивать на заседаниях Комитета руководителей и других работников организации,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Участвовать в подготовке предложений в раздел коллективного договора (соглашения по охране труда) по вопросам, находящимся в компетенции Комитета.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Вносить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опасных условиях труда, компенсаций.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Члены Комитета информируют не реже __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_ в </w:t>
      </w:r>
      <w:r>
        <w:rPr>
          <w:rFonts w:hAnsi="Times New Roman" w:cs="Times New Roman"/>
          <w:color w:val="000000"/>
          <w:sz w:val="24"/>
          <w:szCs w:val="24"/>
        </w:rPr>
        <w:t xml:space="preserve">год </w:t>
      </w:r>
      <w:r>
        <w:rPr>
          <w:rFonts w:hAnsi="Times New Roman" w:cs="Times New Roman"/>
          <w:color w:val="000000"/>
          <w:sz w:val="24"/>
          <w:szCs w:val="24"/>
        </w:rPr>
        <w:t>выборный орган первичной профсоюзной организации или собрание работников о проделанной ими в Комитете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Выборный орган первичной профсоюзной организации или собрание работников организации вправе отзывать из Комитета своих представителей и выдвигать в его состав новых представителей. Организация вправе своим решением отзывать своих представителей из Комитета и назначать вместо них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Настоящее Положение о Комитете организации утверждается приказом руководителя организации с учетом мнения выборного профсоюзного органа и (или) иного уполномоченного работниками организации представительного органа и вступает в силу с момента его утверждения.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Решение о внесении изменений или дополнений в Положение о Комитете организации принимается 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Настоящее Положение действует до принятия нового Положения о Комитете или отмены настоящего Положения.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08fa651807549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