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107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«Победа»</w:t>
            </w:r>
          </w:p>
        </w:tc>
      </w:tr>
      <w:tr>
        <w:trPr>
          <w:trHeight w:val="0"/>
        </w:trPr>
        <w:tc>
          <w:tcPr>
            <w:tcW w:w="107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2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82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 января2021 года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ПРИКАЗ </w:t>
      </w:r>
      <w:r>
        <w:rPr>
          <w:rFonts w:hAnsi="Times New Roman" w:cs="Times New Roman"/>
          <w:color w:val="000000"/>
          <w:sz w:val="24"/>
          <w:szCs w:val="24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</w:rPr>
        <w:t>25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 назначении лица, ответственного за содержание содержание ПС в работоспособном состоянии, а также организацию своевременного их освидетельствования и осмотра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целях исполнения требований </w:t>
      </w:r>
      <w:r>
        <w:rPr>
          <w:rFonts w:hAnsi="Times New Roman" w:cs="Times New Roman"/>
          <w:color w:val="000000"/>
          <w:sz w:val="24"/>
          <w:szCs w:val="24"/>
        </w:rPr>
        <w:t>Федеральных норм и правил в области промышленной безопасности, Приказ Ростехнадзора от 26.11.2020 № 461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Назначить лицом, ответственным за содержание ПС в работоспособном состоянии, а также организацию своевременного их освидетельствования и осмотра в </w:t>
      </w:r>
      <w:r>
        <w:rPr>
          <w:rFonts w:hAnsi="Times New Roman" w:cs="Times New Roman"/>
          <w:color w:val="000000"/>
          <w:sz w:val="24"/>
          <w:szCs w:val="24"/>
        </w:rPr>
        <w:t>ООО «Победа»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Общество) </w:t>
      </w:r>
      <w:r>
        <w:rPr>
          <w:rFonts w:hAnsi="Times New Roman" w:cs="Times New Roman"/>
          <w:color w:val="000000"/>
          <w:sz w:val="24"/>
          <w:szCs w:val="24"/>
        </w:rPr>
        <w:t>главного инженера Петрова А.С.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ответственное лицо).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Ответственному лицу обеспечить: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в работоспособном состоянии ПС и грузозахватных приспособлений (при их наличии), проведение периодических осмотров, технических обслуживаний и ремонтов в установленные графиком сроки, систематический контроль за правильным ведением журнала периодических осмотров и своевременное устранение выявленных неисправностей;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обслуживание и ремонт грузоподъемных механизмов обученным и аттестованным персоналом, имеющим необходимые знания и достаточные навыки для выполнения возложенных на него обязанностей;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операторами и ремонтным персоналом производственных инструкций по обслуживанию грузоподъемных механизмов;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своевременную подготовку к техническому освидетельствованию грузоподъемных механизмов, а также подготовку к техническому диагностированию и экспертному обследованию грузоподъемных механизмов, отработавших нормативный срок службы;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график вывода грузоподъемных механизмов в ремонт;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на грузоподъемных механизмах табличек с обозначением регистрационного номера, паспортной грузоподъемностью и датой следующего частичного и полного технического освидетельствования;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хранение паспортов и технической документации на грузоподъемные механизмы и грузозахватные устройства (при их наличии).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Ответственному лицу в своей работе руководствоваться правилами безопасности опасных производственных объектов, на которых используются подъемные сооружения, утвержденными приказом Ростехнадзора от 26.11.2020 № 461, а также локальными нормативными актами об охране труда и промышленной безопасности, действующими в Обществе.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Настоящий приказ вступает в силу со дня его подписания генеральным директором Общества.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 xml:space="preserve">Офис-менеджеру </w:t>
      </w:r>
      <w:r>
        <w:rPr>
          <w:rFonts w:hAnsi="Times New Roman" w:cs="Times New Roman"/>
          <w:color w:val="000000"/>
          <w:sz w:val="24"/>
          <w:szCs w:val="24"/>
        </w:rPr>
        <w:t>Куликовой О.Е.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с настоящим приказом ответственное лицо под поспись.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Контроль за исполнением настоящего приказа возлагаю на </w:t>
      </w:r>
      <w:r>
        <w:rPr>
          <w:rFonts w:hAnsi="Times New Roman" w:cs="Times New Roman"/>
          <w:color w:val="000000"/>
          <w:sz w:val="24"/>
          <w:szCs w:val="24"/>
        </w:rPr>
        <w:t>заместителя генерального директора по транспортным перевозкам Леонтьева В.А.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20"/>
        <w:gridCol w:w="3120"/>
        <w:gridCol w:w="3120"/>
      </w:tblGrid>
      <w:tr>
        <w:trPr>
          <w:trHeight w:val="0"/>
        </w:trPr>
        <w:tc>
          <w:tcPr>
            <w:tcW w:w="3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ООО «Победа»</w:t>
            </w:r>
          </w:p>
        </w:tc>
        <w:tc>
          <w:tcPr>
            <w:tcW w:w="3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 С.В.</w:t>
            </w:r>
          </w:p>
        </w:tc>
        <w:tc>
          <w:tcPr>
            <w:tcW w:w="3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</w:tr>
      <w:tr>
        <w:trPr>
          <w:trHeight w:val="0"/>
        </w:trPr>
        <w:tc>
          <w:tcPr>
            <w:tcW w:w="3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3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b71e3d80d6f45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